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648DC">
      <w:pPr>
        <w:ind w:firstLine="0" w:firstLineChars="0"/>
        <w:jc w:val="center"/>
        <w:rPr>
          <w:rFonts w:hint="default"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采购需求</w:t>
      </w:r>
    </w:p>
    <w:p w14:paraId="67464EFC">
      <w:pPr>
        <w:spacing w:before="0" w:beforeLines="0" w:after="0" w:afterLines="0" w:line="240" w:lineRule="auto"/>
        <w:ind w:left="0" w:leftChars="0" w:right="0" w:rightChars="0" w:firstLine="0" w:firstLineChars="0"/>
        <w:jc w:val="center"/>
        <w:rPr>
          <w:b/>
          <w:bCs/>
          <w:sz w:val="48"/>
          <w:szCs w:val="48"/>
        </w:rPr>
      </w:pPr>
    </w:p>
    <w:p w14:paraId="345B6896">
      <w:pPr>
        <w:pStyle w:val="19"/>
        <w:numPr>
          <w:ilvl w:val="0"/>
          <w:numId w:val="0"/>
        </w:numPr>
        <w:jc w:val="left"/>
        <w:outlineLvl w:val="0"/>
        <w:rPr>
          <w:rFonts w:hint="default" w:ascii="方正黑体_GBK" w:hAnsi="方正黑体_GBK" w:eastAsia="方正黑体_GBK" w:cs="方正黑体_GBK"/>
          <w:b/>
          <w:sz w:val="32"/>
          <w:szCs w:val="32"/>
          <w:lang w:val="en-US"/>
        </w:rPr>
      </w:pPr>
      <w:bookmarkStart w:id="0" w:name="_Toc1414226922"/>
      <w:r>
        <w:rPr>
          <w:rFonts w:hint="eastAsia" w:ascii="方正黑体_GBK" w:hAnsi="方正黑体_GBK" w:eastAsia="方正黑体_GBK" w:cs="方正黑体_GBK"/>
          <w:b/>
          <w:sz w:val="32"/>
          <w:szCs w:val="32"/>
          <w:lang w:eastAsia="zh-CN"/>
        </w:rPr>
        <w:t>一、</w:t>
      </w:r>
      <w:r>
        <w:rPr>
          <w:rFonts w:hint="eastAsia" w:ascii="方正黑体_GBK" w:hAnsi="方正黑体_GBK" w:eastAsia="方正黑体_GBK" w:cs="方正黑体_GBK"/>
          <w:b/>
          <w:sz w:val="32"/>
          <w:szCs w:val="32"/>
          <w:lang w:val="en-US" w:eastAsia="zh-CN"/>
        </w:rPr>
        <w:t>采购</w:t>
      </w:r>
      <w:bookmarkEnd w:id="0"/>
      <w:r>
        <w:rPr>
          <w:rFonts w:hint="eastAsia" w:ascii="方正黑体_GBK" w:hAnsi="方正黑体_GBK" w:eastAsia="方正黑体_GBK" w:cs="方正黑体_GBK"/>
          <w:b/>
          <w:sz w:val="32"/>
          <w:szCs w:val="32"/>
          <w:lang w:val="en-US" w:eastAsia="zh-CN"/>
        </w:rPr>
        <w:t>项目概况</w:t>
      </w:r>
    </w:p>
    <w:p w14:paraId="7BE0A76B">
      <w:pPr>
        <w:pStyle w:val="2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为进一步提高</w:t>
      </w:r>
      <w:r>
        <w:rPr>
          <w:rFonts w:hint="eastAsia" w:ascii="仿宋_GB2312" w:hAnsi="仿宋_GB2312" w:eastAsia="仿宋_GB2312" w:cs="仿宋_GB2312"/>
          <w:sz w:val="30"/>
          <w:szCs w:val="30"/>
          <w:lang w:val="en-US" w:eastAsia="zh-CN"/>
        </w:rPr>
        <w:t>我司</w:t>
      </w:r>
      <w:r>
        <w:rPr>
          <w:rFonts w:hint="eastAsia" w:ascii="仿宋_GB2312" w:hAnsi="仿宋_GB2312" w:eastAsia="仿宋_GB2312" w:cs="仿宋_GB2312"/>
          <w:sz w:val="30"/>
          <w:szCs w:val="30"/>
        </w:rPr>
        <w:t>信息系统的保障能力，根据《中华人民共和国网络安全法》（</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"https://baike.baidu.com/item/%E4%B8%AD%E5%8D%8E%E4%BA%BA%E6%B0%91%E5%85%B1%E5%92%8C%E5%9B%BD%E4%B8%BB%E5%B8%AD%E4%BB%A4%EF%BC%88%E7%AC%AC%E4%BA%94%E5%8D%81%E4%B8%89%E5%8F%B7%EF%BC%89/23119921"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主席令第53号</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）、《国家网络安全事件应急预案》（中央网信办〔2017〕4号）、《GB/T 22239-2019 信息安全技术网络安全等级保护基本要求》、《GB/T 28448-2019 信息安全技术网络安全等级保护测评要求》等相关法律法规要求和安徽省信息系统网络安全等级保护相关要求，“合肥市卫星导航定位基准服务”（移动专网）、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合肥市测绘设计研究院综合业务平台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含</w:t>
      </w:r>
      <w:r>
        <w:rPr>
          <w:rFonts w:hint="eastAsia" w:ascii="仿宋_GB2312" w:hAnsi="仿宋_GB2312" w:eastAsia="仿宋_GB2312" w:cs="仿宋_GB2312"/>
          <w:sz w:val="30"/>
          <w:szCs w:val="30"/>
        </w:rPr>
        <w:t>“EPS测绘地理信息一体化生产平台”、“泽塔云算力平台”、“房产测绘信息系统”</w:t>
      </w:r>
      <w:r>
        <w:rPr>
          <w:rFonts w:hint="eastAsia" w:ascii="仿宋_GB2312" w:hAnsi="仿宋_GB2312" w:eastAsia="仿宋_GB2312" w:cs="仿宋_GB2312"/>
          <w:sz w:val="30"/>
          <w:szCs w:val="30"/>
          <w:lang w:val="en-US" w:eastAsia="zh-CN"/>
        </w:rPr>
        <w:t>等内网业务系统）</w:t>
      </w:r>
      <w:r>
        <w:rPr>
          <w:rFonts w:hint="eastAsia" w:ascii="仿宋_GB2312" w:hAnsi="仿宋_GB2312" w:eastAsia="仿宋_GB2312" w:cs="仿宋_GB2312"/>
          <w:sz w:val="30"/>
          <w:szCs w:val="30"/>
        </w:rPr>
        <w:t>和公司门户网站（外网）需依据等级保护2.0相关要求开展等保测评工作。</w:t>
      </w:r>
    </w:p>
    <w:p w14:paraId="079E7304">
      <w:pPr>
        <w:pStyle w:val="20"/>
        <w:numPr>
          <w:ilvl w:val="0"/>
          <w:numId w:val="0"/>
        </w:numPr>
        <w:ind w:left="560" w:leftChars="0"/>
        <w:jc w:val="left"/>
        <w:outlineLvl w:val="0"/>
        <w:rPr>
          <w:rFonts w:hint="eastAsia" w:ascii="方正黑体_GBK" w:hAnsi="方正黑体_GBK" w:eastAsia="方正黑体_GBK" w:cs="方正黑体_GBK"/>
          <w:b/>
          <w:kern w:val="2"/>
          <w:sz w:val="32"/>
          <w:szCs w:val="32"/>
          <w:lang w:val="en-US" w:eastAsia="zh-CN" w:bidi="ar-SA"/>
        </w:rPr>
      </w:pPr>
      <w:bookmarkStart w:id="1" w:name="_Toc562873058"/>
      <w:r>
        <w:rPr>
          <w:rFonts w:hint="eastAsia" w:ascii="方正黑体_GBK" w:hAnsi="方正黑体_GBK" w:eastAsia="方正黑体_GBK" w:cs="方正黑体_GBK"/>
          <w:b/>
          <w:kern w:val="2"/>
          <w:sz w:val="32"/>
          <w:szCs w:val="32"/>
          <w:lang w:val="en-US" w:eastAsia="zh-CN" w:bidi="ar-SA"/>
        </w:rPr>
        <w:t>二、采购目标</w:t>
      </w:r>
      <w:bookmarkEnd w:id="1"/>
    </w:p>
    <w:p w14:paraId="57ED265D">
      <w:pPr>
        <w:pStyle w:val="2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依据公司的网络安全与信息安全现状和需求，完成对</w:t>
      </w:r>
      <w:r>
        <w:rPr>
          <w:rFonts w:hint="eastAsia" w:ascii="仿宋_GB2312" w:hAnsi="仿宋_GB2312" w:eastAsia="仿宋_GB2312" w:cs="仿宋_GB2312"/>
          <w:sz w:val="30"/>
          <w:szCs w:val="30"/>
        </w:rPr>
        <w:t>“合肥市卫星导航定位基准服务”（移动专网）、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合肥市测绘设计研究院综合业务平台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含</w:t>
      </w:r>
      <w:r>
        <w:rPr>
          <w:rFonts w:hint="eastAsia" w:ascii="仿宋_GB2312" w:hAnsi="仿宋_GB2312" w:eastAsia="仿宋_GB2312" w:cs="仿宋_GB2312"/>
          <w:sz w:val="30"/>
          <w:szCs w:val="30"/>
        </w:rPr>
        <w:t>“EPS测绘地理信息一体化生产平台”、“泽塔云算力平台”、“房产测绘信息系统”</w:t>
      </w:r>
      <w:r>
        <w:rPr>
          <w:rFonts w:hint="eastAsia" w:ascii="仿宋_GB2312" w:hAnsi="仿宋_GB2312" w:eastAsia="仿宋_GB2312" w:cs="仿宋_GB2312"/>
          <w:sz w:val="30"/>
          <w:szCs w:val="30"/>
          <w:lang w:val="en-US" w:eastAsia="zh-CN"/>
        </w:rPr>
        <w:t>等内网业务系统）</w:t>
      </w:r>
      <w:r>
        <w:rPr>
          <w:rFonts w:hint="eastAsia" w:ascii="仿宋_GB2312" w:hAnsi="仿宋_GB2312" w:eastAsia="仿宋_GB2312" w:cs="仿宋_GB2312"/>
          <w:sz w:val="30"/>
          <w:szCs w:val="30"/>
        </w:rPr>
        <w:t>和公司门户网站（外网）进行</w:t>
      </w:r>
      <w:r>
        <w:rPr>
          <w:rFonts w:hint="eastAsia" w:ascii="仿宋_GB2312" w:hAnsi="仿宋_GB2312" w:eastAsia="仿宋_GB2312" w:cs="仿宋_GB2312"/>
          <w:sz w:val="30"/>
          <w:szCs w:val="30"/>
          <w:lang w:val="en-US" w:eastAsia="zh-CN"/>
        </w:rPr>
        <w:t>二级的</w:t>
      </w:r>
      <w:r>
        <w:rPr>
          <w:rFonts w:hint="eastAsia" w:ascii="仿宋_GB2312" w:hAnsi="仿宋_GB2312" w:eastAsia="仿宋_GB2312" w:cs="仿宋_GB2312"/>
          <w:sz w:val="30"/>
          <w:szCs w:val="30"/>
        </w:rPr>
        <w:t>等级保护测评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确保公司的网络和信息重要安全能够满足监管合规的要求。测评单位需</w:t>
      </w:r>
      <w:r>
        <w:rPr>
          <w:rFonts w:hint="eastAsia" w:ascii="仿宋_GB2312" w:hAnsi="仿宋_GB2312" w:eastAsia="仿宋_GB2312" w:cs="仿宋_GB2312"/>
          <w:sz w:val="30"/>
          <w:szCs w:val="30"/>
        </w:rPr>
        <w:t>依据相应等级的安全保护测评要求及</w:t>
      </w:r>
      <w:r>
        <w:rPr>
          <w:rFonts w:hint="eastAsia" w:ascii="仿宋_GB2312" w:hAnsi="仿宋_GB2312" w:eastAsia="仿宋_GB2312" w:cs="仿宋_GB2312"/>
          <w:sz w:val="30"/>
          <w:szCs w:val="30"/>
          <w:lang w:val="en-US" w:eastAsia="zh-CN"/>
        </w:rPr>
        <w:t>测绘</w:t>
      </w:r>
      <w:r>
        <w:rPr>
          <w:rFonts w:hint="eastAsia" w:ascii="仿宋_GB2312" w:hAnsi="仿宋_GB2312" w:eastAsia="仿宋_GB2312" w:cs="仿宋_GB2312"/>
          <w:sz w:val="30"/>
          <w:szCs w:val="30"/>
        </w:rPr>
        <w:t>行业的特殊安全需求，对</w:t>
      </w:r>
      <w:r>
        <w:rPr>
          <w:rFonts w:hint="eastAsia" w:ascii="仿宋_GB2312" w:hAnsi="仿宋_GB2312" w:eastAsia="仿宋_GB2312" w:cs="仿宋_GB2312"/>
          <w:sz w:val="30"/>
          <w:szCs w:val="30"/>
          <w:lang w:val="en-US" w:eastAsia="zh-CN"/>
        </w:rPr>
        <w:t>我司的</w:t>
      </w:r>
      <w:r>
        <w:rPr>
          <w:rFonts w:hint="eastAsia" w:ascii="仿宋_GB2312" w:hAnsi="仿宋_GB2312" w:eastAsia="仿宋_GB2312" w:cs="仿宋_GB2312"/>
          <w:sz w:val="30"/>
          <w:szCs w:val="30"/>
        </w:rPr>
        <w:t>信息系统网络安全进行等级保护符合性测评</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测评内容涵盖物理和环境安全、网络和通信安全、设备和计算安全、应用和数据安全、数据安全与备份恢复、安全策略和管理制度、安全管理机构和人员、系统建设管理、系统运维管理等信息安全的各个层面。</w:t>
      </w:r>
    </w:p>
    <w:p w14:paraId="37C63FB0">
      <w:pPr>
        <w:pStyle w:val="20"/>
        <w:numPr>
          <w:ilvl w:val="0"/>
          <w:numId w:val="0"/>
        </w:numPr>
        <w:ind w:left="560" w:leftChars="0" w:firstLine="320" w:firstLineChars="100"/>
        <w:jc w:val="left"/>
        <w:outlineLvl w:val="0"/>
        <w:rPr>
          <w:rFonts w:hint="eastAsia" w:ascii="方正黑体_GBK" w:hAnsi="方正黑体_GBK" w:eastAsia="方正黑体_GBK" w:cs="方正黑体_GBK"/>
          <w:b/>
          <w:kern w:val="2"/>
          <w:sz w:val="32"/>
          <w:szCs w:val="32"/>
          <w:lang w:val="en-US" w:eastAsia="zh-CN" w:bidi="ar-SA"/>
        </w:rPr>
      </w:pPr>
      <w:r>
        <w:rPr>
          <w:rFonts w:hint="eastAsia" w:ascii="方正黑体_GBK" w:hAnsi="方正黑体_GBK" w:eastAsia="方正黑体_GBK" w:cs="方正黑体_GBK"/>
          <w:b/>
          <w:kern w:val="2"/>
          <w:sz w:val="32"/>
          <w:szCs w:val="32"/>
          <w:lang w:val="en-US" w:eastAsia="zh-CN" w:bidi="ar-SA"/>
        </w:rPr>
        <w:t>三、资质/资格条件</w:t>
      </w:r>
    </w:p>
    <w:p w14:paraId="323B13FD">
      <w:pPr>
        <w:pStyle w:val="20"/>
        <w:ind w:firstLine="480"/>
        <w:jc w:val="left"/>
        <w:rPr>
          <w:rFonts w:hint="eastAsia" w:ascii="仿宋_GB2312" w:hAnsi="仿宋_GB2312" w:eastAsia="仿宋_GB2312" w:cs="仿宋_GB2312"/>
          <w:sz w:val="30"/>
          <w:szCs w:val="30"/>
          <w:lang w:val="en-US" w:eastAsia="zh-CN"/>
        </w:rPr>
      </w:pPr>
      <w:bookmarkStart w:id="2" w:name="_Toc542020771"/>
      <w:r>
        <w:rPr>
          <w:rFonts w:hint="eastAsia" w:ascii="仿宋_GB2312" w:hAnsi="仿宋_GB2312" w:eastAsia="仿宋_GB2312" w:cs="仿宋_GB2312"/>
          <w:sz w:val="30"/>
          <w:szCs w:val="30"/>
          <w:lang w:val="en-US" w:eastAsia="zh-CN"/>
        </w:rPr>
        <w:t>申请人的资格要求：</w:t>
      </w:r>
    </w:p>
    <w:p w14:paraId="34D7B4E6">
      <w:pPr>
        <w:pStyle w:val="20"/>
        <w:ind w:firstLine="48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（1）资质要求：</w:t>
      </w:r>
    </w:p>
    <w:p w14:paraId="3D47BFAC">
      <w:pPr>
        <w:pStyle w:val="20"/>
        <w:ind w:firstLine="900" w:firstLineChars="3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①具有</w:t>
      </w:r>
      <w:r>
        <w:rPr>
          <w:rFonts w:hint="eastAsia" w:ascii="仿宋_GB2312" w:hAnsi="仿宋_GB2312" w:eastAsia="仿宋_GB2312" w:cs="仿宋_GB2312"/>
          <w:i w:val="0"/>
          <w:iCs w:val="0"/>
          <w:caps w:val="0"/>
          <w:color w:val="333333"/>
          <w:spacing w:val="0"/>
          <w:sz w:val="32"/>
          <w:szCs w:val="32"/>
        </w:rPr>
        <w:t>独立企业法人资格</w:t>
      </w:r>
      <w:r>
        <w:rPr>
          <w:rFonts w:hint="eastAsia" w:ascii="仿宋_GB2312" w:hAnsi="仿宋_GB2312" w:eastAsia="仿宋_GB2312" w:cs="仿宋_GB2312"/>
          <w:i w:val="0"/>
          <w:iCs w:val="0"/>
          <w:caps w:val="0"/>
          <w:color w:val="333333"/>
          <w:spacing w:val="0"/>
          <w:sz w:val="32"/>
          <w:szCs w:val="32"/>
          <w:lang w:val="en-US" w:eastAsia="zh-CN"/>
        </w:rPr>
        <w:t>及</w:t>
      </w:r>
      <w:r>
        <w:rPr>
          <w:rFonts w:hint="eastAsia" w:ascii="仿宋_GB2312" w:hAnsi="仿宋_GB2312" w:eastAsia="仿宋_GB2312" w:cs="仿宋_GB2312"/>
          <w:sz w:val="30"/>
          <w:szCs w:val="30"/>
          <w:lang w:val="en-US" w:eastAsia="zh-CN"/>
        </w:rPr>
        <w:t>有效的营业执照；</w:t>
      </w:r>
    </w:p>
    <w:p w14:paraId="57585F27">
      <w:pPr>
        <w:pStyle w:val="20"/>
        <w:numPr>
          <w:ilvl w:val="0"/>
          <w:numId w:val="0"/>
        </w:numPr>
        <w:ind w:left="560" w:leftChars="0" w:firstLine="300" w:firstLineChars="100"/>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②具有有效的网络安全等级测评与检测评估机构服务认证证书</w:t>
      </w:r>
      <w:r>
        <w:rPr>
          <w:rFonts w:hint="eastAsia" w:ascii="仿宋_GB2312" w:hAnsi="仿宋_GB2312" w:eastAsia="仿宋_GB2312" w:cs="仿宋_GB2312"/>
          <w:sz w:val="32"/>
          <w:szCs w:val="32"/>
          <w:lang w:val="en-US" w:eastAsia="zh-CN"/>
        </w:rPr>
        <w:t>和国家互联网应急中心颁发的“网络安全能力认证”培训机构证书。</w:t>
      </w:r>
    </w:p>
    <w:p w14:paraId="4F5F47D6">
      <w:pPr>
        <w:pStyle w:val="20"/>
        <w:numPr>
          <w:ilvl w:val="0"/>
          <w:numId w:val="1"/>
        </w:numPr>
        <w:ind w:left="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人员要求：</w:t>
      </w:r>
    </w:p>
    <w:p w14:paraId="5BD55B49">
      <w:pPr>
        <w:pStyle w:val="20"/>
        <w:ind w:firstLine="960" w:firstLineChars="300"/>
        <w:jc w:val="left"/>
        <w:rPr>
          <w:rFonts w:hint="default" w:ascii="仿宋_GB2312" w:hAnsi="仿宋_GB2312" w:eastAsia="仿宋_GB2312" w:cs="仿宋_GB2312"/>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2"/>
          <w:szCs w:val="32"/>
        </w:rPr>
        <w:t>拟派技术团队（项目负责人1人，其他技术人员不少于3人）其中至少一人具有中级测评师资质，且具有中国信息安全测评中心颁发的“注册应急响应专家（CISP-IRS）”证书。</w:t>
      </w:r>
    </w:p>
    <w:p w14:paraId="3A87AF48">
      <w:pPr>
        <w:pStyle w:val="20"/>
        <w:ind w:firstLine="960" w:firstLineChars="3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aps w:val="0"/>
          <w:color w:val="333333"/>
          <w:spacing w:val="0"/>
          <w:sz w:val="32"/>
          <w:szCs w:val="32"/>
          <w:lang w:val="en-US" w:eastAsia="zh-CN"/>
        </w:rPr>
        <w:t>注：提供人员证书扫描件和2024年5月至今任意连续6个月的社保证明材料。</w:t>
      </w:r>
    </w:p>
    <w:p w14:paraId="236D3DF5">
      <w:pPr>
        <w:pStyle w:val="20"/>
        <w:numPr>
          <w:ilvl w:val="0"/>
          <w:numId w:val="1"/>
        </w:numPr>
        <w:ind w:firstLine="48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业绩要求：</w:t>
      </w:r>
    </w:p>
    <w:p w14:paraId="2BD4404F">
      <w:pPr>
        <w:pStyle w:val="20"/>
        <w:ind w:firstLine="960" w:firstLineChars="300"/>
        <w:jc w:val="left"/>
        <w:rPr>
          <w:rFonts w:hint="eastAsia" w:ascii="仿宋_GB2312" w:hAnsi="仿宋_GB2312" w:eastAsia="仿宋_GB2312" w:cs="仿宋_GB2312"/>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2"/>
          <w:szCs w:val="32"/>
          <w:lang w:eastAsia="zh-CN"/>
        </w:rPr>
        <w:t>①</w:t>
      </w:r>
      <w:r>
        <w:rPr>
          <w:rFonts w:hint="eastAsia" w:ascii="仿宋_GB2312" w:hAnsi="仿宋_GB2312" w:eastAsia="仿宋_GB2312" w:cs="仿宋_GB2312"/>
          <w:i w:val="0"/>
          <w:iCs w:val="0"/>
          <w:caps w:val="0"/>
          <w:color w:val="333333"/>
          <w:spacing w:val="0"/>
          <w:sz w:val="32"/>
          <w:szCs w:val="32"/>
        </w:rPr>
        <w:t>供应商提供近</w:t>
      </w:r>
      <w:r>
        <w:rPr>
          <w:rFonts w:hint="eastAsia" w:ascii="仿宋_GB2312" w:hAnsi="仿宋_GB2312" w:eastAsia="仿宋_GB2312" w:cs="仿宋_GB2312"/>
          <w:i w:val="0"/>
          <w:iCs w:val="0"/>
          <w:caps w:val="0"/>
          <w:color w:val="333333"/>
          <w:spacing w:val="0"/>
          <w:sz w:val="32"/>
          <w:szCs w:val="32"/>
          <w:lang w:val="en-US" w:eastAsia="zh-CN"/>
        </w:rPr>
        <w:t>二</w:t>
      </w:r>
      <w:r>
        <w:rPr>
          <w:rFonts w:hint="eastAsia" w:ascii="仿宋_GB2312" w:hAnsi="仿宋_GB2312" w:eastAsia="仿宋_GB2312" w:cs="仿宋_GB2312"/>
          <w:i w:val="0"/>
          <w:iCs w:val="0"/>
          <w:caps w:val="0"/>
          <w:color w:val="333333"/>
          <w:spacing w:val="0"/>
          <w:sz w:val="32"/>
          <w:szCs w:val="32"/>
        </w:rPr>
        <w:t>年内，已完成的</w:t>
      </w:r>
      <w:r>
        <w:rPr>
          <w:rFonts w:hint="eastAsia" w:ascii="仿宋_GB2312" w:hAnsi="仿宋_GB2312" w:eastAsia="仿宋_GB2312" w:cs="仿宋_GB2312"/>
          <w:i w:val="0"/>
          <w:iCs w:val="0"/>
          <w:caps w:val="0"/>
          <w:color w:val="333333"/>
          <w:spacing w:val="0"/>
          <w:sz w:val="32"/>
          <w:szCs w:val="32"/>
          <w:lang w:eastAsia="zh-CN"/>
        </w:rPr>
        <w:t>具备党政机关（事业单位）或国有企业委托的信息系统等级保护测评服务业绩（以合同签订时间为准）。</w:t>
      </w:r>
    </w:p>
    <w:p w14:paraId="0734C724">
      <w:pPr>
        <w:pStyle w:val="20"/>
        <w:ind w:firstLine="960" w:firstLineChars="300"/>
        <w:jc w:val="left"/>
        <w:rPr>
          <w:rFonts w:hint="eastAsia" w:ascii="仿宋_GB2312" w:hAnsi="仿宋_GB2312" w:eastAsia="仿宋_GB2312" w:cs="仿宋_GB2312"/>
          <w:i w:val="0"/>
          <w:iCs w:val="0"/>
          <w:caps w:val="0"/>
          <w:color w:val="333333"/>
          <w:spacing w:val="0"/>
          <w:sz w:val="32"/>
          <w:szCs w:val="32"/>
        </w:rPr>
      </w:pPr>
      <w:r>
        <w:rPr>
          <w:rFonts w:hint="default" w:ascii="仿宋_GB2312" w:hAnsi="仿宋_GB2312" w:eastAsia="仿宋_GB2312" w:cs="仿宋_GB2312"/>
          <w:i w:val="0"/>
          <w:iCs w:val="0"/>
          <w:caps w:val="0"/>
          <w:color w:val="333333"/>
          <w:spacing w:val="0"/>
          <w:sz w:val="32"/>
          <w:szCs w:val="32"/>
          <w:lang w:eastAsia="zh-CN"/>
        </w:rPr>
        <w:t>②</w:t>
      </w:r>
      <w:r>
        <w:rPr>
          <w:rFonts w:hint="eastAsia" w:ascii="仿宋_GB2312" w:hAnsi="仿宋_GB2312" w:eastAsia="仿宋_GB2312" w:cs="仿宋_GB2312"/>
          <w:i w:val="0"/>
          <w:iCs w:val="0"/>
          <w:caps w:val="0"/>
          <w:color w:val="333333"/>
          <w:spacing w:val="0"/>
          <w:sz w:val="32"/>
          <w:szCs w:val="32"/>
        </w:rPr>
        <w:t>项目负责人至少</w:t>
      </w:r>
      <w:r>
        <w:rPr>
          <w:rFonts w:hint="eastAsia" w:ascii="仿宋_GB2312" w:hAnsi="仿宋_GB2312" w:eastAsia="仿宋_GB2312" w:cs="仿宋_GB2312"/>
          <w:i w:val="0"/>
          <w:iCs w:val="0"/>
          <w:caps w:val="0"/>
          <w:color w:val="333333"/>
          <w:spacing w:val="0"/>
          <w:sz w:val="32"/>
          <w:szCs w:val="32"/>
          <w:lang w:val="en-US" w:eastAsia="zh-CN"/>
        </w:rPr>
        <w:t>独立</w:t>
      </w:r>
      <w:r>
        <w:rPr>
          <w:rFonts w:hint="eastAsia" w:ascii="仿宋_GB2312" w:hAnsi="仿宋_GB2312" w:eastAsia="仿宋_GB2312" w:cs="仿宋_GB2312"/>
          <w:i w:val="0"/>
          <w:iCs w:val="0"/>
          <w:caps w:val="0"/>
          <w:color w:val="333333"/>
          <w:spacing w:val="0"/>
          <w:sz w:val="32"/>
          <w:szCs w:val="32"/>
        </w:rPr>
        <w:t>承担过一次自202</w:t>
      </w:r>
      <w:r>
        <w:rPr>
          <w:rFonts w:hint="eastAsia" w:ascii="仿宋_GB2312" w:hAnsi="仿宋_GB2312" w:eastAsia="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7</w:t>
      </w:r>
      <w:r>
        <w:rPr>
          <w:rFonts w:hint="eastAsia" w:ascii="仿宋_GB2312" w:hAnsi="仿宋_GB2312" w:eastAsia="仿宋_GB2312" w:cs="仿宋_GB2312"/>
          <w:i w:val="0"/>
          <w:iCs w:val="0"/>
          <w:caps w:val="0"/>
          <w:color w:val="333333"/>
          <w:spacing w:val="0"/>
          <w:sz w:val="32"/>
          <w:szCs w:val="32"/>
        </w:rPr>
        <w:t>月1日（含）以来已完成的类似</w:t>
      </w:r>
      <w:r>
        <w:rPr>
          <w:rFonts w:hint="eastAsia" w:ascii="仿宋_GB2312" w:hAnsi="仿宋_GB2312" w:eastAsia="仿宋_GB2312" w:cs="仿宋_GB2312"/>
          <w:i w:val="0"/>
          <w:iCs w:val="0"/>
          <w:caps w:val="0"/>
          <w:color w:val="333333"/>
          <w:spacing w:val="0"/>
          <w:sz w:val="32"/>
          <w:szCs w:val="32"/>
          <w:lang w:val="en-US" w:eastAsia="zh-CN"/>
        </w:rPr>
        <w:t>测评</w:t>
      </w:r>
      <w:r>
        <w:rPr>
          <w:rFonts w:hint="eastAsia" w:ascii="仿宋_GB2312" w:hAnsi="仿宋_GB2312" w:eastAsia="仿宋_GB2312" w:cs="仿宋_GB2312"/>
          <w:i w:val="0"/>
          <w:iCs w:val="0"/>
          <w:caps w:val="0"/>
          <w:color w:val="333333"/>
          <w:spacing w:val="0"/>
          <w:sz w:val="32"/>
          <w:szCs w:val="32"/>
        </w:rPr>
        <w:t>项目的业绩。</w:t>
      </w:r>
    </w:p>
    <w:p w14:paraId="04FE96A4">
      <w:pPr>
        <w:pStyle w:val="20"/>
        <w:ind w:firstLine="48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（4）信誉最低要求：</w:t>
      </w:r>
    </w:p>
    <w:p w14:paraId="39D3022C">
      <w:pPr>
        <w:pStyle w:val="20"/>
        <w:numPr>
          <w:ilvl w:val="0"/>
          <w:numId w:val="0"/>
        </w:numPr>
        <w:ind w:left="560" w:leftChars="0" w:firstLine="300" w:firstLineChars="100"/>
        <w:jc w:val="left"/>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①在国家企业信用信息公示系统</w:t>
      </w:r>
      <w:r>
        <w:rPr>
          <w:rFonts w:hint="eastAsia" w:ascii="仿宋_GB2312" w:hAnsi="仿宋_GB2312" w:eastAsia="仿宋_GB2312" w:cs="仿宋_GB2312"/>
          <w:i w:val="0"/>
          <w:iCs w:val="0"/>
          <w:caps w:val="0"/>
          <w:color w:val="333333"/>
          <w:spacing w:val="0"/>
          <w:sz w:val="32"/>
          <w:szCs w:val="32"/>
          <w:lang w:val="en-US" w:eastAsia="zh-CN"/>
        </w:rPr>
        <w:t>（http://www.gsxt.gov.cn）中未被列入严重违法失信企业名单；</w:t>
      </w:r>
    </w:p>
    <w:p w14:paraId="10C682FC">
      <w:pPr>
        <w:pStyle w:val="20"/>
        <w:numPr>
          <w:ilvl w:val="0"/>
          <w:numId w:val="0"/>
        </w:numPr>
        <w:ind w:left="560" w:leftChars="0" w:firstLine="300" w:firstLineChars="100"/>
        <w:jc w:val="left"/>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②在“中国执行信息公开网”网站</w:t>
      </w:r>
      <w:bookmarkStart w:id="9" w:name="_GoBack"/>
      <w:bookmarkEnd w:id="9"/>
      <w:r>
        <w:rPr>
          <w:rFonts w:hint="eastAsia" w:ascii="仿宋_GB2312" w:hAnsi="仿宋_GB2312" w:eastAsia="仿宋_GB2312" w:cs="仿宋_GB2312"/>
          <w:sz w:val="30"/>
          <w:szCs w:val="30"/>
          <w:lang w:val="en-US" w:eastAsia="zh-CN"/>
        </w:rPr>
        <w:t>（http://zxgk.court.gov.cn/index.jsp）中未被列入失信被执行人名单；</w:t>
      </w:r>
    </w:p>
    <w:p w14:paraId="20424A18">
      <w:pPr>
        <w:pStyle w:val="20"/>
        <w:numPr>
          <w:ilvl w:val="0"/>
          <w:numId w:val="0"/>
        </w:numPr>
        <w:ind w:left="560" w:leftChars="0" w:firstLine="320" w:firstLineChars="100"/>
        <w:jc w:val="left"/>
        <w:outlineLvl w:val="0"/>
        <w:rPr>
          <w:rFonts w:hint="eastAsia" w:ascii="方正黑体_GBK" w:hAnsi="方正黑体_GBK" w:eastAsia="方正黑体_GBK" w:cs="方正黑体_GBK"/>
          <w:b/>
          <w:kern w:val="2"/>
          <w:sz w:val="32"/>
          <w:szCs w:val="32"/>
          <w:lang w:val="en-US" w:eastAsia="zh-CN" w:bidi="ar-SA"/>
        </w:rPr>
      </w:pPr>
      <w:r>
        <w:rPr>
          <w:rFonts w:hint="eastAsia" w:ascii="方正黑体_GBK" w:hAnsi="方正黑体_GBK" w:eastAsia="方正黑体_GBK" w:cs="方正黑体_GBK"/>
          <w:b/>
          <w:kern w:val="2"/>
          <w:sz w:val="32"/>
          <w:szCs w:val="32"/>
          <w:lang w:val="en-US" w:eastAsia="zh-CN" w:bidi="ar-SA"/>
        </w:rPr>
        <w:t>四、实施原则</w:t>
      </w:r>
      <w:bookmarkEnd w:id="2"/>
    </w:p>
    <w:p w14:paraId="26FF3053">
      <w:pPr>
        <w:pStyle w:val="20"/>
        <w:ind w:firstLine="48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rPr>
        <w:t>保密原则</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对测评的过程数据和结果数据严格保密，未经授权不得泄露给任何单位和个人，不得利用此数据进行任何侵害招标人的行为，否则招标人有权追究中标人的责任。</w:t>
      </w:r>
    </w:p>
    <w:p w14:paraId="2B5F8CB7">
      <w:pPr>
        <w:pStyle w:val="20"/>
        <w:ind w:firstLine="48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rPr>
        <w:t>标准性原则</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测评方案的设计与实施应依据国家等级保护的相关标准进行。</w:t>
      </w:r>
    </w:p>
    <w:p w14:paraId="6E216ED9">
      <w:pPr>
        <w:pStyle w:val="20"/>
        <w:ind w:firstLine="48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3</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rPr>
        <w:t>规范性原则</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中标人的工作中的过程和文档，具有很好的规范性，可以便于项目的跟踪和控制。</w:t>
      </w:r>
    </w:p>
    <w:p w14:paraId="023B4D8A">
      <w:pPr>
        <w:pStyle w:val="20"/>
        <w:ind w:firstLine="48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4</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rPr>
        <w:t>可控性原则</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测评服务的进度要跟上进度表的安排，保证招标人对于测评工作的可控性。</w:t>
      </w:r>
    </w:p>
    <w:p w14:paraId="0831F64B">
      <w:pPr>
        <w:pStyle w:val="20"/>
        <w:ind w:firstLine="48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rPr>
        <w:t>整体性原则</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测评的范围和内容应当整体全面，包括国家等级保护相关要求涉及的各个层面。</w:t>
      </w:r>
    </w:p>
    <w:p w14:paraId="49966C61">
      <w:pPr>
        <w:pStyle w:val="20"/>
        <w:ind w:firstLine="48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6</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rPr>
        <w:t>最小影响原则</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测评工作应尽可能小的影响系统和网络，并在可控范围内；测评工作不能对现有信息系统的正常运行、业务的正常开展产生任何影响。</w:t>
      </w:r>
    </w:p>
    <w:p w14:paraId="63457AE3">
      <w:pPr>
        <w:pStyle w:val="19"/>
        <w:numPr>
          <w:ilvl w:val="0"/>
          <w:numId w:val="0"/>
        </w:numPr>
        <w:ind w:firstLine="640" w:firstLineChars="200"/>
        <w:outlineLvl w:val="0"/>
        <w:rPr>
          <w:rFonts w:hint="eastAsia" w:ascii="方正黑体_GBK" w:hAnsi="方正黑体_GBK" w:eastAsia="方正黑体_GBK" w:cs="方正黑体_GBK"/>
          <w:b/>
          <w:kern w:val="2"/>
          <w:sz w:val="32"/>
          <w:szCs w:val="32"/>
          <w:lang w:val="en-US" w:eastAsia="zh-CN" w:bidi="ar-SA"/>
        </w:rPr>
      </w:pPr>
      <w:bookmarkStart w:id="3" w:name="_Toc117467623"/>
      <w:r>
        <w:rPr>
          <w:rFonts w:hint="eastAsia" w:ascii="方正黑体_GBK" w:hAnsi="方正黑体_GBK" w:eastAsia="方正黑体_GBK" w:cs="方正黑体_GBK"/>
          <w:b/>
          <w:kern w:val="2"/>
          <w:sz w:val="32"/>
          <w:szCs w:val="32"/>
          <w:lang w:val="en-US" w:eastAsia="zh-CN" w:bidi="ar-SA"/>
        </w:rPr>
        <w:t>五、项目需求</w:t>
      </w:r>
      <w:bookmarkEnd w:id="3"/>
    </w:p>
    <w:p w14:paraId="63A7BAB1">
      <w:pPr>
        <w:pStyle w:val="19"/>
        <w:ind w:firstLine="643" w:firstLineChars="200"/>
        <w:outlineLvl w:val="1"/>
        <w:rPr>
          <w:rFonts w:hint="eastAsia" w:ascii="仿宋_GB2312" w:hAnsi="仿宋_GB2312" w:eastAsia="仿宋_GB2312" w:cs="仿宋_GB2312"/>
          <w:kern w:val="2"/>
          <w:sz w:val="32"/>
          <w:szCs w:val="32"/>
          <w:lang w:val="en-US" w:eastAsia="zh-CN" w:bidi="ar-SA"/>
        </w:rPr>
      </w:pPr>
      <w:bookmarkStart w:id="4" w:name="_Toc740868168"/>
      <w:r>
        <w:rPr>
          <w:rFonts w:hint="eastAsia" w:ascii="仿宋_GB2312" w:hAnsi="仿宋_GB2312" w:eastAsia="仿宋_GB2312" w:cs="仿宋_GB2312"/>
          <w:b/>
          <w:bCs/>
          <w:kern w:val="2"/>
          <w:sz w:val="32"/>
          <w:szCs w:val="32"/>
          <w:lang w:val="en-US" w:eastAsia="zh-CN" w:bidi="ar-SA"/>
        </w:rPr>
        <w:t>1.等级保护测评服务主要需求如下</w:t>
      </w:r>
      <w:bookmarkEnd w:id="4"/>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1000"/>
        <w:gridCol w:w="1466"/>
        <w:gridCol w:w="1614"/>
      </w:tblGrid>
      <w:tr w14:paraId="7124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14:paraId="2140A5E7">
            <w:pPr>
              <w:spacing w:line="480" w:lineRule="auto"/>
              <w:ind w:firstLine="0" w:firstLineChars="0"/>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系统名称</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37EC8359">
            <w:pPr>
              <w:spacing w:line="480" w:lineRule="auto"/>
              <w:ind w:firstLine="0" w:firstLineChars="0"/>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等级</w:t>
            </w:r>
          </w:p>
        </w:tc>
        <w:tc>
          <w:tcPr>
            <w:tcW w:w="1466" w:type="dxa"/>
            <w:tcBorders>
              <w:top w:val="single" w:color="auto" w:sz="4" w:space="0"/>
              <w:left w:val="nil"/>
              <w:bottom w:val="single" w:color="auto" w:sz="4" w:space="0"/>
              <w:right w:val="single" w:color="auto" w:sz="4" w:space="0"/>
            </w:tcBorders>
            <w:shd w:val="clear" w:color="auto" w:fill="FFFFFF"/>
            <w:vAlign w:val="center"/>
          </w:tcPr>
          <w:p w14:paraId="239A9B15">
            <w:pPr>
              <w:spacing w:line="480" w:lineRule="auto"/>
              <w:ind w:firstLine="0" w:firstLineChars="0"/>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等保测评</w:t>
            </w:r>
          </w:p>
        </w:tc>
        <w:tc>
          <w:tcPr>
            <w:tcW w:w="1614" w:type="dxa"/>
            <w:tcBorders>
              <w:top w:val="single" w:color="auto" w:sz="4" w:space="0"/>
              <w:left w:val="nil"/>
              <w:bottom w:val="single" w:color="auto" w:sz="4" w:space="0"/>
              <w:right w:val="single" w:color="auto" w:sz="4" w:space="0"/>
            </w:tcBorders>
            <w:shd w:val="clear" w:color="auto" w:fill="FFFFFF"/>
            <w:vAlign w:val="center"/>
          </w:tcPr>
          <w:p w14:paraId="1F0261A9">
            <w:pPr>
              <w:spacing w:line="480" w:lineRule="auto"/>
              <w:ind w:firstLine="0" w:firstLineChars="0"/>
              <w:jc w:val="center"/>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备注</w:t>
            </w:r>
          </w:p>
        </w:tc>
      </w:tr>
      <w:tr w14:paraId="769C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14:paraId="5903A6A2">
            <w:pPr>
              <w:spacing w:line="480" w:lineRule="auto"/>
              <w:ind w:firstLine="0" w:firstLineChars="0"/>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合肥市卫星导航定位基准服务</w:t>
            </w:r>
          </w:p>
        </w:tc>
        <w:tc>
          <w:tcPr>
            <w:tcW w:w="1000" w:type="dxa"/>
            <w:vMerge w:val="restart"/>
            <w:tcBorders>
              <w:top w:val="single" w:color="auto" w:sz="4" w:space="0"/>
              <w:left w:val="nil"/>
              <w:right w:val="single" w:color="auto" w:sz="4" w:space="0"/>
            </w:tcBorders>
            <w:shd w:val="clear" w:color="auto" w:fill="FFFFFF"/>
            <w:vAlign w:val="center"/>
          </w:tcPr>
          <w:p w14:paraId="57CC9F2A">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14:paraId="45DA60DD">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14:paraId="49511667">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14:paraId="02AAD1E4">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二级</w:t>
            </w:r>
          </w:p>
          <w:p w14:paraId="73391C67">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14:paraId="6D6B417B">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tc>
        <w:tc>
          <w:tcPr>
            <w:tcW w:w="1466" w:type="dxa"/>
            <w:vMerge w:val="restart"/>
            <w:tcBorders>
              <w:top w:val="single" w:color="auto" w:sz="4" w:space="0"/>
              <w:left w:val="nil"/>
              <w:right w:val="single" w:color="auto" w:sz="4" w:space="0"/>
            </w:tcBorders>
            <w:shd w:val="clear" w:color="auto" w:fill="FFFFFF"/>
            <w:vAlign w:val="center"/>
          </w:tcPr>
          <w:p w14:paraId="737A7FFB">
            <w:pPr>
              <w:spacing w:line="480" w:lineRule="auto"/>
              <w:ind w:firstLine="0" w:firstLineChars="0"/>
              <w:jc w:val="both"/>
              <w:rPr>
                <w:rFonts w:hint="eastAsia" w:ascii="仿宋_GB2312" w:hAnsi="仿宋_GB2312" w:eastAsia="仿宋_GB2312" w:cs="仿宋_GB2312"/>
                <w:color w:val="000000" w:themeColor="text1"/>
                <w:kern w:val="0"/>
                <w:sz w:val="28"/>
                <w:szCs w:val="28"/>
                <w14:textFill>
                  <w14:solidFill>
                    <w14:schemeClr w14:val="tx1"/>
                  </w14:solidFill>
                </w14:textFill>
              </w:rPr>
            </w:pPr>
          </w:p>
          <w:p w14:paraId="1F95A9AA">
            <w:pPr>
              <w:spacing w:line="480" w:lineRule="auto"/>
              <w:ind w:firstLine="0" w:firstLineChars="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p>
          <w:p w14:paraId="4B481E86">
            <w:pPr>
              <w:spacing w:line="480" w:lineRule="auto"/>
              <w:ind w:firstLine="0" w:firstLineChars="0"/>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p w14:paraId="50D11A3B">
            <w:pPr>
              <w:spacing w:line="480" w:lineRule="auto"/>
              <w:ind w:firstLine="0" w:firstLineChars="0"/>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14" w:type="dxa"/>
            <w:vMerge w:val="restart"/>
            <w:tcBorders>
              <w:top w:val="single" w:color="auto" w:sz="4" w:space="0"/>
              <w:left w:val="nil"/>
              <w:right w:val="single" w:color="auto" w:sz="4" w:space="0"/>
            </w:tcBorders>
            <w:shd w:val="clear" w:color="auto" w:fill="FFFFFF"/>
            <w:vAlign w:val="center"/>
          </w:tcPr>
          <w:p w14:paraId="049521E5">
            <w:pPr>
              <w:spacing w:line="480" w:lineRule="auto"/>
              <w:ind w:firstLine="0" w:firstLineChars="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协助取得系统备案证明</w:t>
            </w:r>
          </w:p>
          <w:p w14:paraId="66834AE0">
            <w:pPr>
              <w:spacing w:line="480" w:lineRule="auto"/>
              <w:ind w:firstLine="0" w:firstLineChars="0"/>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14:paraId="6661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14:paraId="0634FF46">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sz w:val="30"/>
                <w:szCs w:val="30"/>
                <w:lang w:val="en-US" w:eastAsia="zh-CN"/>
              </w:rPr>
              <w:t>合肥市测绘设计研究院综合业务平台（含</w:t>
            </w:r>
            <w:r>
              <w:rPr>
                <w:rFonts w:hint="eastAsia" w:ascii="仿宋_GB2312" w:hAnsi="仿宋_GB2312" w:eastAsia="仿宋_GB2312" w:cs="仿宋_GB2312"/>
                <w:sz w:val="30"/>
                <w:szCs w:val="30"/>
              </w:rPr>
              <w:t>“EPS测绘地理信息一体化生产平台”、“泽塔云算力平台”、“房产测绘信息系统”</w:t>
            </w:r>
            <w:r>
              <w:rPr>
                <w:rFonts w:hint="eastAsia" w:ascii="仿宋_GB2312" w:hAnsi="仿宋_GB2312" w:eastAsia="仿宋_GB2312" w:cs="仿宋_GB2312"/>
                <w:sz w:val="30"/>
                <w:szCs w:val="30"/>
                <w:lang w:val="en-US" w:eastAsia="zh-CN"/>
              </w:rPr>
              <w:t>等内网业务系统）</w:t>
            </w:r>
          </w:p>
        </w:tc>
        <w:tc>
          <w:tcPr>
            <w:tcW w:w="1000" w:type="dxa"/>
            <w:vMerge w:val="continue"/>
            <w:tcBorders>
              <w:left w:val="nil"/>
              <w:right w:val="single" w:color="auto" w:sz="4" w:space="0"/>
            </w:tcBorders>
            <w:shd w:val="clear" w:color="auto" w:fill="FFFFFF"/>
            <w:vAlign w:val="center"/>
          </w:tcPr>
          <w:p w14:paraId="4B3BA727">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tc>
        <w:tc>
          <w:tcPr>
            <w:tcW w:w="1466" w:type="dxa"/>
            <w:vMerge w:val="continue"/>
            <w:tcBorders>
              <w:left w:val="nil"/>
              <w:right w:val="single" w:color="auto" w:sz="4" w:space="0"/>
            </w:tcBorders>
            <w:shd w:val="clear" w:color="auto" w:fill="FFFFFF"/>
            <w:vAlign w:val="center"/>
          </w:tcPr>
          <w:p w14:paraId="76C79A7D">
            <w:pPr>
              <w:spacing w:line="480" w:lineRule="auto"/>
              <w:ind w:firstLine="0" w:firstLineChars="0"/>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14" w:type="dxa"/>
            <w:vMerge w:val="continue"/>
            <w:tcBorders>
              <w:left w:val="nil"/>
              <w:right w:val="single" w:color="auto" w:sz="4" w:space="0"/>
            </w:tcBorders>
            <w:shd w:val="clear" w:color="auto" w:fill="FFFFFF"/>
            <w:vAlign w:val="center"/>
          </w:tcPr>
          <w:p w14:paraId="54D13340">
            <w:pPr>
              <w:spacing w:line="480" w:lineRule="auto"/>
              <w:ind w:firstLine="0" w:firstLineChars="0"/>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14:paraId="4727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442" w:type="dxa"/>
            <w:tcBorders>
              <w:top w:val="single" w:color="auto" w:sz="4" w:space="0"/>
              <w:left w:val="single" w:color="auto" w:sz="4" w:space="0"/>
              <w:bottom w:val="single" w:color="auto" w:sz="4" w:space="0"/>
              <w:right w:val="single" w:color="auto" w:sz="4" w:space="0"/>
            </w:tcBorders>
            <w:shd w:val="clear" w:color="auto" w:fill="FFFFFF"/>
            <w:vAlign w:val="center"/>
          </w:tcPr>
          <w:p w14:paraId="012CC2A8">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公司门户网站（外网）</w:t>
            </w:r>
          </w:p>
        </w:tc>
        <w:tc>
          <w:tcPr>
            <w:tcW w:w="1000" w:type="dxa"/>
            <w:vMerge w:val="continue"/>
            <w:tcBorders>
              <w:left w:val="nil"/>
              <w:bottom w:val="single" w:color="auto" w:sz="4" w:space="0"/>
              <w:right w:val="single" w:color="auto" w:sz="4" w:space="0"/>
            </w:tcBorders>
            <w:shd w:val="clear" w:color="auto" w:fill="FFFFFF"/>
            <w:vAlign w:val="center"/>
          </w:tcPr>
          <w:p w14:paraId="0C6890EE">
            <w:pPr>
              <w:spacing w:line="480" w:lineRule="auto"/>
              <w:ind w:firstLine="0" w:firstLineChars="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tc>
        <w:tc>
          <w:tcPr>
            <w:tcW w:w="1466" w:type="dxa"/>
            <w:vMerge w:val="continue"/>
            <w:tcBorders>
              <w:left w:val="nil"/>
              <w:bottom w:val="single" w:color="auto" w:sz="4" w:space="0"/>
              <w:right w:val="single" w:color="auto" w:sz="4" w:space="0"/>
            </w:tcBorders>
            <w:shd w:val="clear" w:color="auto" w:fill="FFFFFF"/>
            <w:vAlign w:val="center"/>
          </w:tcPr>
          <w:p w14:paraId="05BFC689">
            <w:pPr>
              <w:spacing w:line="480" w:lineRule="auto"/>
              <w:ind w:firstLine="0" w:firstLineChars="0"/>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614" w:type="dxa"/>
            <w:vMerge w:val="continue"/>
            <w:tcBorders>
              <w:left w:val="nil"/>
              <w:bottom w:val="single" w:color="auto" w:sz="4" w:space="0"/>
              <w:right w:val="single" w:color="auto" w:sz="4" w:space="0"/>
            </w:tcBorders>
            <w:shd w:val="clear" w:color="auto" w:fill="FFFFFF"/>
            <w:vAlign w:val="center"/>
          </w:tcPr>
          <w:p w14:paraId="6B328ECE">
            <w:pPr>
              <w:spacing w:line="480" w:lineRule="auto"/>
              <w:ind w:firstLine="0" w:firstLineChars="0"/>
              <w:jc w:val="center"/>
              <w:rPr>
                <w:rFonts w:hint="eastAsia" w:ascii="仿宋_GB2312" w:hAnsi="仿宋_GB2312" w:eastAsia="仿宋_GB2312" w:cs="仿宋_GB2312"/>
                <w:color w:val="000000" w:themeColor="text1"/>
                <w:sz w:val="28"/>
                <w:szCs w:val="28"/>
                <w14:textFill>
                  <w14:solidFill>
                    <w14:schemeClr w14:val="tx1"/>
                  </w14:solidFill>
                </w14:textFill>
              </w:rPr>
            </w:pPr>
          </w:p>
        </w:tc>
      </w:tr>
    </w:tbl>
    <w:p w14:paraId="7D439B70">
      <w:pPr>
        <w:pStyle w:val="5"/>
        <w:ind w:firstLine="0" w:firstLineChars="0"/>
        <w:rPr>
          <w:rFonts w:hint="eastAsia"/>
        </w:rPr>
      </w:pPr>
    </w:p>
    <w:p w14:paraId="65403C24">
      <w:pPr>
        <w:pStyle w:val="19"/>
        <w:numPr>
          <w:ilvl w:val="0"/>
          <w:numId w:val="0"/>
        </w:numPr>
        <w:ind w:firstLine="60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30"/>
          <w:szCs w:val="30"/>
          <w:lang w:val="en-US" w:eastAsia="zh-CN" w:bidi="ar-SA"/>
        </w:rPr>
        <w:t>以国家等级保护相关标准《GB/T 22239-2019信息安全技术 网络安全等级保护基本要求》、《GB/T 22240-2020 信息安全技术 网络安全等级保护定级指南》为基础，对采购人整体信息系统的构成、应用情况、网络结构、安全现状加以分析研究、编制信息系统测评技术方案和实施方案，提交差距分析、问题清单及整改意见、测评报告、等一系列技术文档。</w:t>
      </w:r>
    </w:p>
    <w:p w14:paraId="47FE250D">
      <w:pPr>
        <w:autoSpaceDE w:val="0"/>
        <w:autoSpaceDN w:val="0"/>
        <w:spacing w:line="480" w:lineRule="exact"/>
        <w:ind w:firstLine="482"/>
        <w:jc w:val="left"/>
        <w:outlineLvl w:val="1"/>
        <w:rPr>
          <w:rFonts w:hint="eastAsia" w:ascii="仿宋_GB2312" w:hAnsi="仿宋_GB2312" w:eastAsia="仿宋_GB2312" w:cs="仿宋_GB2312"/>
          <w:b/>
          <w:bCs/>
          <w:kern w:val="2"/>
          <w:sz w:val="32"/>
          <w:szCs w:val="32"/>
          <w:lang w:val="en-US" w:eastAsia="zh-CN" w:bidi="ar-SA"/>
        </w:rPr>
      </w:pPr>
      <w:bookmarkStart w:id="5" w:name="_Toc661114270"/>
      <w:r>
        <w:rPr>
          <w:rFonts w:hint="eastAsia" w:ascii="仿宋_GB2312" w:hAnsi="仿宋_GB2312" w:eastAsia="仿宋_GB2312" w:cs="仿宋_GB2312"/>
          <w:b/>
          <w:bCs/>
          <w:kern w:val="2"/>
          <w:sz w:val="32"/>
          <w:szCs w:val="32"/>
          <w:lang w:val="en-US" w:eastAsia="zh-CN" w:bidi="ar-SA"/>
        </w:rPr>
        <w:t>2.技术规格和标准</w:t>
      </w:r>
      <w:bookmarkEnd w:id="5"/>
    </w:p>
    <w:p w14:paraId="31CCFFC1">
      <w:pPr>
        <w:autoSpaceDE w:val="0"/>
        <w:autoSpaceDN w:val="0"/>
        <w:spacing w:line="480" w:lineRule="exact"/>
        <w:ind w:firstLine="482"/>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（1）《信息安全技术 网络安全等级保护基本要求》（GB/T 22239-2019）</w:t>
      </w:r>
    </w:p>
    <w:p w14:paraId="4A8D0F7D">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（2）《信息安全技术 网络安全等级保护测评要求》（GB/T 28448-2019）</w:t>
      </w:r>
    </w:p>
    <w:p w14:paraId="4A503455">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（3）《信息安全技术 网络安全等级保护测评过程指南》（GB/T 28449-2018）</w:t>
      </w:r>
    </w:p>
    <w:p w14:paraId="2911B45F">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（4）《计算机信息系统安全保护等级划分准则》（GB 17859-1999）</w:t>
      </w:r>
    </w:p>
    <w:p w14:paraId="19165F97">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（5）《信息安全技术 信息系统安全等级保护定级指南》（GB/T 22240-2020）</w:t>
      </w:r>
    </w:p>
    <w:p w14:paraId="738E986C">
      <w:p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（6）《信息安全技术 网络基础安全技术要求》（GB/T 20270-2006）</w:t>
      </w:r>
    </w:p>
    <w:p w14:paraId="2C324B78">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（7）《信息安全技术 信息系统通用安全技术要求》（GB/T 20271-2006）</w:t>
      </w:r>
    </w:p>
    <w:p w14:paraId="2DAF0F7C">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（8）《信息安全技术 操作系统安全技术要求》（GB/T 20272-2006）</w:t>
      </w:r>
    </w:p>
    <w:p w14:paraId="556247C1">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（9）《信息安全技术 数据库管理系统安全技术要求》（GB/T 20273-2006）</w:t>
      </w:r>
    </w:p>
    <w:p w14:paraId="471DBAA0">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（10）《信息安全技术 应用系统安全等级保护通用技术指南》（GA/T 711-2007）</w:t>
      </w:r>
    </w:p>
    <w:p w14:paraId="3604E54C">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（11）《信息安全技术 服务器技术要求》（GB/T 21028-2007）</w:t>
      </w:r>
    </w:p>
    <w:p w14:paraId="600A276E">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（12）《信息安全技术 终端计算机系统安全等级技术要求》（GA/T 671-2006）</w:t>
      </w:r>
    </w:p>
    <w:p w14:paraId="72345F71">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（13）《信息安全技术 信息系统安全管理要求》（GB/T 20269-2006）</w:t>
      </w:r>
    </w:p>
    <w:p w14:paraId="14352A22">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（14）《信息安全技术 信息系统安全工程管理要求》（GB/T 20282-2006）</w:t>
      </w:r>
    </w:p>
    <w:p w14:paraId="3B4BB087">
      <w:pPr>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（15）《信息安全技术 信息安全事件分类分级指南》（GB/Z 20986-2007）</w:t>
      </w:r>
    </w:p>
    <w:p w14:paraId="02241D0A">
      <w:pPr>
        <w:ind w:firstLine="964" w:firstLineChars="300"/>
        <w:outlineLvl w:val="1"/>
        <w:rPr>
          <w:rFonts w:hint="eastAsia" w:ascii="仿宋_GB2312" w:hAnsi="仿宋_GB2312" w:eastAsia="仿宋_GB2312" w:cs="仿宋_GB2312"/>
          <w:b/>
          <w:bCs/>
          <w:kern w:val="2"/>
          <w:sz w:val="32"/>
          <w:szCs w:val="32"/>
          <w:lang w:val="en-US" w:eastAsia="zh-CN" w:bidi="ar-SA"/>
        </w:rPr>
      </w:pPr>
      <w:bookmarkStart w:id="6" w:name="_Toc267146312"/>
      <w:r>
        <w:rPr>
          <w:rFonts w:hint="eastAsia" w:ascii="仿宋_GB2312" w:hAnsi="仿宋_GB2312" w:eastAsia="仿宋_GB2312" w:cs="仿宋_GB2312"/>
          <w:b/>
          <w:bCs/>
          <w:kern w:val="2"/>
          <w:sz w:val="32"/>
          <w:szCs w:val="32"/>
          <w:lang w:val="en-US" w:eastAsia="zh-CN" w:bidi="ar-SA"/>
        </w:rPr>
        <w:t>3.项目内容</w:t>
      </w:r>
      <w:bookmarkEnd w:id="6"/>
    </w:p>
    <w:p w14:paraId="4FFB0C24">
      <w:pPr>
        <w:autoSpaceDE w:val="0"/>
        <w:autoSpaceDN w:val="0"/>
        <w:spacing w:before="38" w:line="520" w:lineRule="exact"/>
        <w:ind w:right="-20"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（1）漏洞扫描。供应商需针对网络设备，服务器，应用等进行漏洞扫描出具漏洞扫描报告。</w:t>
      </w:r>
    </w:p>
    <w:p w14:paraId="32F74D97">
      <w:pPr>
        <w:autoSpaceDE w:val="0"/>
        <w:autoSpaceDN w:val="0"/>
        <w:spacing w:before="38" w:line="520" w:lineRule="exact"/>
        <w:ind w:right="-20"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（2）渗透测试。模拟黑客可能使用的攻击技术和漏洞发现技术，对信息系统进行验证性渗透测试。</w:t>
      </w:r>
    </w:p>
    <w:p w14:paraId="2BE44E77">
      <w:pPr>
        <w:pStyle w:val="5"/>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（3）系统定级与备案。协助我单位完成系统的定级（含专家评审）与备案工作，最终取得公安部门下发的备案证明。</w:t>
      </w:r>
    </w:p>
    <w:p w14:paraId="12B2DADA">
      <w:pPr>
        <w:spacing w:line="520" w:lineRule="exact"/>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（4）等级保护测评。依据《信息安全技术 网络安全等级保护基本要求》（GB/T 22239-2019）、《信息安全技术 网络安全等级保护测评要求》（GB/T 28448-2019）等国家等级保护相关标准，参照《信息安全技术 信息系统安全等级保护定级指南》（GB/T 22240）、《信息安全技术 网络安全等级保护测评过程指南》（GB/T 28449-2018），完成安全技术层面包括安全物理环境、安全通信网络、安全区域边界、安全计算环境和安全管理中心五个方面的安全测评；安全管理层面包括安全管理机构、安全管理制度、安全管理人员、安全建设管理和安全运维管理五个方面的安全测评。完成上述测评工作和整改加固实施后，供应商最后出具符合公安机关要求的各信息系统网络安全等级保护测评报告。</w:t>
      </w:r>
    </w:p>
    <w:p w14:paraId="7B31D9AB">
      <w:pPr>
        <w:ind w:firstLine="964" w:firstLineChars="300"/>
        <w:outlineLvl w:val="1"/>
        <w:rPr>
          <w:rFonts w:hint="eastAsia" w:ascii="仿宋_GB2312" w:hAnsi="仿宋_GB2312" w:eastAsia="仿宋_GB2312" w:cs="仿宋_GB2312"/>
          <w:b/>
          <w:bCs/>
          <w:kern w:val="2"/>
          <w:sz w:val="32"/>
          <w:szCs w:val="32"/>
          <w:lang w:val="en-US" w:eastAsia="zh-CN" w:bidi="ar-SA"/>
        </w:rPr>
      </w:pPr>
      <w:bookmarkStart w:id="7" w:name="_Toc1687243554"/>
      <w:r>
        <w:rPr>
          <w:rFonts w:hint="eastAsia" w:ascii="仿宋_GB2312" w:hAnsi="仿宋_GB2312" w:eastAsia="仿宋_GB2312" w:cs="仿宋_GB2312"/>
          <w:b/>
          <w:bCs/>
          <w:kern w:val="2"/>
          <w:sz w:val="32"/>
          <w:szCs w:val="32"/>
          <w:lang w:val="en-US" w:eastAsia="zh-CN" w:bidi="ar-SA"/>
        </w:rPr>
        <w:t>4.测评结果反馈</w:t>
      </w:r>
      <w:bookmarkEnd w:id="7"/>
    </w:p>
    <w:tbl>
      <w:tblPr>
        <w:tblStyle w:val="15"/>
        <w:tblW w:w="0" w:type="auto"/>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0"/>
        <w:gridCol w:w="5801"/>
      </w:tblGrid>
      <w:tr w14:paraId="3285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480" w:type="dxa"/>
            <w:tcBorders>
              <w:top w:val="single" w:color="000000" w:sz="4" w:space="0"/>
              <w:left w:val="single" w:color="000000" w:sz="4" w:space="0"/>
              <w:bottom w:val="single" w:color="000000" w:sz="4" w:space="0"/>
              <w:right w:val="single" w:color="000000" w:sz="4" w:space="0"/>
            </w:tcBorders>
            <w:vAlign w:val="center"/>
          </w:tcPr>
          <w:p w14:paraId="1D0ED375">
            <w:pPr>
              <w:spacing w:line="480" w:lineRule="auto"/>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等级保护测评工作</w:t>
            </w:r>
          </w:p>
        </w:tc>
        <w:tc>
          <w:tcPr>
            <w:tcW w:w="5801" w:type="dxa"/>
            <w:tcBorders>
              <w:top w:val="single" w:color="000000" w:sz="4" w:space="0"/>
              <w:left w:val="nil"/>
              <w:bottom w:val="single" w:color="000000" w:sz="4" w:space="0"/>
              <w:right w:val="single" w:color="000000" w:sz="4" w:space="0"/>
            </w:tcBorders>
            <w:vAlign w:val="center"/>
          </w:tcPr>
          <w:p w14:paraId="7297DD61">
            <w:pPr>
              <w:pStyle w:val="25"/>
              <w:spacing w:line="480" w:lineRule="auto"/>
              <w:ind w:firstLine="0" w:firstLineChars="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1.问题清单及整改建议。</w:t>
            </w:r>
          </w:p>
          <w:p w14:paraId="7DBCD6C4">
            <w:pPr>
              <w:pStyle w:val="25"/>
              <w:spacing w:line="480" w:lineRule="auto"/>
              <w:ind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2.信息系统网络安全等级保护测评报告。</w:t>
            </w:r>
          </w:p>
        </w:tc>
      </w:tr>
    </w:tbl>
    <w:p w14:paraId="51E0CEED">
      <w:pPr>
        <w:pStyle w:val="5"/>
        <w:ind w:left="0" w:leftChars="0" w:firstLine="0" w:firstLineChars="0"/>
      </w:pPr>
    </w:p>
    <w:p w14:paraId="5765E2C0">
      <w:pPr>
        <w:ind w:firstLine="964" w:firstLineChars="300"/>
        <w:outlineLvl w:val="1"/>
        <w:rPr>
          <w:rFonts w:hint="eastAsia" w:ascii="仿宋_GB2312" w:hAnsi="仿宋_GB2312" w:eastAsia="仿宋_GB2312" w:cs="仿宋_GB2312"/>
          <w:b/>
          <w:bCs/>
          <w:kern w:val="2"/>
          <w:sz w:val="32"/>
          <w:szCs w:val="32"/>
          <w:lang w:val="en-US" w:eastAsia="zh-CN" w:bidi="ar-SA"/>
        </w:rPr>
      </w:pPr>
      <w:bookmarkStart w:id="8" w:name="_Toc2128337090"/>
      <w:r>
        <w:rPr>
          <w:rFonts w:hint="eastAsia" w:ascii="仿宋_GB2312" w:hAnsi="仿宋_GB2312" w:eastAsia="仿宋_GB2312" w:cs="仿宋_GB2312"/>
          <w:b/>
          <w:bCs/>
          <w:kern w:val="2"/>
          <w:sz w:val="32"/>
          <w:szCs w:val="32"/>
          <w:lang w:val="en-US" w:eastAsia="zh-CN" w:bidi="ar-SA"/>
        </w:rPr>
        <w:t>5.</w:t>
      </w:r>
      <w:bookmarkEnd w:id="8"/>
      <w:r>
        <w:rPr>
          <w:rFonts w:hint="eastAsia" w:ascii="仿宋_GB2312" w:hAnsi="仿宋_GB2312" w:eastAsia="仿宋_GB2312" w:cs="仿宋_GB2312"/>
          <w:b/>
          <w:bCs/>
          <w:kern w:val="2"/>
          <w:sz w:val="32"/>
          <w:szCs w:val="32"/>
          <w:lang w:val="en-US" w:eastAsia="zh-CN" w:bidi="ar-SA"/>
        </w:rPr>
        <w:t>采购标的的验收标准、付款方式</w:t>
      </w:r>
    </w:p>
    <w:p w14:paraId="5EBA21C4">
      <w:pPr>
        <w:pStyle w:val="6"/>
        <w:numPr>
          <w:ilvl w:val="0"/>
          <w:numId w:val="0"/>
        </w:num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1.验收标准：中标供应商在合同签订后的45天内完成测评服务内容，出具符合公安机关要求的（年度）信息系统安全保护等级测评报告。</w:t>
      </w:r>
    </w:p>
    <w:p w14:paraId="192A5621">
      <w:pPr>
        <w:pStyle w:val="6"/>
        <w:numPr>
          <w:ilvl w:val="0"/>
          <w:numId w:val="0"/>
        </w:num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2.付款方式：本项目合同签订后，中标供应商须向采购方提供符合要求的等额发票，票至付款。</w:t>
      </w:r>
    </w:p>
    <w:p w14:paraId="332BF284">
      <w:pPr>
        <w:pStyle w:val="5"/>
        <w:spacing w:line="600" w:lineRule="exact"/>
        <w:ind w:firstLine="560" w:firstLineChars="175"/>
        <w:rPr>
          <w:rFonts w:hint="eastAsia" w:ascii="方正黑体_GBK" w:hAnsi="方正黑体_GBK" w:eastAsia="方正黑体_GBK" w:cs="方正黑体_GBK"/>
          <w:b/>
          <w:sz w:val="32"/>
          <w:szCs w:val="32"/>
          <w:lang w:val="en-US" w:eastAsia="zh-CN"/>
        </w:rPr>
      </w:pPr>
      <w:r>
        <w:rPr>
          <w:rFonts w:hint="eastAsia" w:ascii="方正黑体_GBK" w:hAnsi="方正黑体_GBK" w:eastAsia="方正黑体_GBK" w:cs="方正黑体_GBK"/>
          <w:b/>
          <w:sz w:val="32"/>
          <w:szCs w:val="32"/>
          <w:lang w:val="en-US" w:eastAsia="zh-CN"/>
        </w:rPr>
        <w:t>六</w:t>
      </w:r>
      <w:r>
        <w:rPr>
          <w:rFonts w:hint="eastAsia" w:ascii="方正黑体_GBK" w:hAnsi="方正黑体_GBK" w:eastAsia="方正黑体_GBK" w:cs="方正黑体_GBK"/>
          <w:b/>
          <w:sz w:val="32"/>
          <w:szCs w:val="32"/>
        </w:rPr>
        <w:t>、</w:t>
      </w:r>
      <w:r>
        <w:rPr>
          <w:rFonts w:hint="eastAsia" w:ascii="方正黑体_GBK" w:hAnsi="方正黑体_GBK" w:eastAsia="方正黑体_GBK" w:cs="方正黑体_GBK"/>
          <w:b/>
          <w:sz w:val="32"/>
          <w:szCs w:val="32"/>
          <w:lang w:val="en-US" w:eastAsia="zh-CN"/>
        </w:rPr>
        <w:t>评定标准</w:t>
      </w:r>
    </w:p>
    <w:p w14:paraId="614D691F">
      <w:pP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最低价优先。</w:t>
      </w:r>
    </w:p>
    <w:p w14:paraId="04F4DAC6">
      <w:pPr>
        <w:pStyle w:val="6"/>
        <w:numPr>
          <w:ilvl w:val="0"/>
          <w:numId w:val="0"/>
        </w:numPr>
        <w:rPr>
          <w:rFonts w:hint="eastAsia" w:ascii="仿宋_GB2312" w:hAnsi="仿宋_GB2312" w:eastAsia="仿宋_GB2312" w:cs="仿宋_GB2312"/>
          <w:kern w:val="2"/>
          <w:sz w:val="32"/>
          <w:szCs w:val="32"/>
          <w:lang w:val="en-US" w:eastAsia="zh-CN" w:bidi="ar-SA"/>
        </w:rPr>
      </w:pPr>
    </w:p>
    <w:p w14:paraId="0443DF64">
      <w:pPr>
        <w:pStyle w:val="6"/>
        <w:numPr>
          <w:ilvl w:val="0"/>
          <w:numId w:val="0"/>
        </w:numPr>
        <w:rPr>
          <w:rFonts w:hint="eastAsia" w:ascii="仿宋_GB2312" w:hAnsi="仿宋_GB2312" w:eastAsia="仿宋_GB2312" w:cs="仿宋_GB2312"/>
          <w:kern w:val="2"/>
          <w:sz w:val="32"/>
          <w:szCs w:val="32"/>
          <w:lang w:val="en-US" w:eastAsia="zh-CN" w:bidi="ar-SA"/>
        </w:rPr>
      </w:pPr>
    </w:p>
    <w:p w14:paraId="6CFD1695">
      <w:pPr>
        <w:pStyle w:val="19"/>
        <w:numPr>
          <w:ilvl w:val="0"/>
          <w:numId w:val="0"/>
        </w:numPr>
        <w:jc w:val="center"/>
        <w:outlineLvl w:val="9"/>
        <w:rPr>
          <w:rFonts w:hint="default" w:ascii="仿宋_GB2312" w:hAnsi="仿宋_GB2312" w:eastAsia="仿宋_GB2312" w:cs="仿宋_GB2312"/>
          <w:kern w:val="2"/>
          <w:sz w:val="32"/>
          <w:szCs w:val="32"/>
          <w:lang w:val="en-US" w:eastAsia="zh-CN" w:bidi="ar-S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37A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A3BB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1A3BB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738C2"/>
    <w:multiLevelType w:val="singleLevel"/>
    <w:tmpl w:val="FAC738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NkZjViNmVkY2Q3N2Q2Y2E3MGQ3Zjg0N2RjNzcifQ=="/>
    <w:docVar w:name="KSO_WPS_MARK_KEY" w:val="ce9c14f7-22b6-4b77-8ba0-228cd2bc8ed3"/>
  </w:docVars>
  <w:rsids>
    <w:rsidRoot w:val="000E6608"/>
    <w:rsid w:val="000E6608"/>
    <w:rsid w:val="002378BD"/>
    <w:rsid w:val="003A72FB"/>
    <w:rsid w:val="0049621D"/>
    <w:rsid w:val="004B17AF"/>
    <w:rsid w:val="00542F02"/>
    <w:rsid w:val="008541BD"/>
    <w:rsid w:val="008A3464"/>
    <w:rsid w:val="00937D8B"/>
    <w:rsid w:val="00A15D93"/>
    <w:rsid w:val="00A76DAE"/>
    <w:rsid w:val="00B53AD0"/>
    <w:rsid w:val="00B64155"/>
    <w:rsid w:val="00C30C59"/>
    <w:rsid w:val="00C53BC9"/>
    <w:rsid w:val="00D3559B"/>
    <w:rsid w:val="013638EC"/>
    <w:rsid w:val="016747BD"/>
    <w:rsid w:val="03175BA8"/>
    <w:rsid w:val="07F817EC"/>
    <w:rsid w:val="08B75A9F"/>
    <w:rsid w:val="096B3E7D"/>
    <w:rsid w:val="0A7807AD"/>
    <w:rsid w:val="0C5F1882"/>
    <w:rsid w:val="124C010E"/>
    <w:rsid w:val="142638D8"/>
    <w:rsid w:val="1DAE7BA8"/>
    <w:rsid w:val="20AE63E4"/>
    <w:rsid w:val="282711F7"/>
    <w:rsid w:val="2C116930"/>
    <w:rsid w:val="2E754F79"/>
    <w:rsid w:val="2E864BA1"/>
    <w:rsid w:val="2EBA6F40"/>
    <w:rsid w:val="34436B7D"/>
    <w:rsid w:val="370C2363"/>
    <w:rsid w:val="3FFD5430"/>
    <w:rsid w:val="4144086D"/>
    <w:rsid w:val="41EF7327"/>
    <w:rsid w:val="442D1803"/>
    <w:rsid w:val="44337E92"/>
    <w:rsid w:val="4441030A"/>
    <w:rsid w:val="466E421B"/>
    <w:rsid w:val="469B66F9"/>
    <w:rsid w:val="47BC15DC"/>
    <w:rsid w:val="48BB00CD"/>
    <w:rsid w:val="4A4623CD"/>
    <w:rsid w:val="4B8F20E1"/>
    <w:rsid w:val="4C8E73D0"/>
    <w:rsid w:val="4ECA2AA6"/>
    <w:rsid w:val="501A533B"/>
    <w:rsid w:val="511D6E38"/>
    <w:rsid w:val="52BA27BB"/>
    <w:rsid w:val="53D15847"/>
    <w:rsid w:val="546844CA"/>
    <w:rsid w:val="557D3A4A"/>
    <w:rsid w:val="55BB7BBB"/>
    <w:rsid w:val="566305AA"/>
    <w:rsid w:val="56792F0C"/>
    <w:rsid w:val="577D5EB1"/>
    <w:rsid w:val="588F7B81"/>
    <w:rsid w:val="58EB69F1"/>
    <w:rsid w:val="5975239F"/>
    <w:rsid w:val="5DB30574"/>
    <w:rsid w:val="5EEECCCE"/>
    <w:rsid w:val="61C20FCF"/>
    <w:rsid w:val="62867EBF"/>
    <w:rsid w:val="651F5701"/>
    <w:rsid w:val="6714127B"/>
    <w:rsid w:val="687B1CB1"/>
    <w:rsid w:val="6BBD624B"/>
    <w:rsid w:val="6D7C17E5"/>
    <w:rsid w:val="6E016260"/>
    <w:rsid w:val="722A12B4"/>
    <w:rsid w:val="76B02704"/>
    <w:rsid w:val="7DBFF6CD"/>
    <w:rsid w:val="7DFEF476"/>
    <w:rsid w:val="7E13F94D"/>
    <w:rsid w:val="7E3B15CE"/>
    <w:rsid w:val="7F3D4789"/>
    <w:rsid w:val="7F3FD9F0"/>
    <w:rsid w:val="AB7CAF2D"/>
    <w:rsid w:val="BAFBED65"/>
    <w:rsid w:val="DDE8A571"/>
    <w:rsid w:val="E6EF57D3"/>
    <w:rsid w:val="F35DD604"/>
    <w:rsid w:val="F7EEC544"/>
    <w:rsid w:val="F7F115F2"/>
    <w:rsid w:val="FC5C310D"/>
    <w:rsid w:val="FFFEB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200" w:firstLineChars="200"/>
      <w:jc w:val="both"/>
      <w:textAlignment w:val="baseline"/>
    </w:pPr>
    <w:rPr>
      <w:rFonts w:ascii="Verdana" w:hAnsi="Verdana" w:eastAsia="宋体" w:cs="Times New Roman"/>
      <w:kern w:val="2"/>
      <w:sz w:val="24"/>
      <w:szCs w:val="24"/>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1"/>
    <w:qFormat/>
    <w:uiPriority w:val="99"/>
    <w:pPr>
      <w:keepNext/>
      <w:keepLines/>
      <w:adjustRightInd/>
      <w:spacing w:line="240" w:lineRule="auto"/>
      <w:ind w:firstLine="640"/>
      <w:textAlignment w:val="auto"/>
      <w:outlineLvl w:val="2"/>
    </w:pPr>
    <w:rPr>
      <w:rFonts w:ascii="方正仿宋_GBK" w:hAnsi="方正仿宋_GBK" w:eastAsia="方正楷体_GBK" w:cs="宋体"/>
      <w:b/>
      <w:bCs/>
      <w:sz w:val="32"/>
      <w:szCs w:val="32"/>
    </w:rPr>
  </w:style>
  <w:style w:type="paragraph" w:styleId="4">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pPr>
  </w:style>
  <w:style w:type="paragraph" w:styleId="6">
    <w:name w:val="Body Text"/>
    <w:basedOn w:val="1"/>
    <w:link w:val="23"/>
    <w:unhideWhenUsed/>
    <w:qFormat/>
    <w:uiPriority w:val="99"/>
    <w:pPr>
      <w:spacing w:after="120"/>
    </w:pPr>
  </w:style>
  <w:style w:type="paragraph" w:styleId="7">
    <w:name w:val="Body Text Indent"/>
    <w:basedOn w:val="1"/>
    <w:next w:val="8"/>
    <w:qFormat/>
    <w:uiPriority w:val="0"/>
    <w:pPr>
      <w:ind w:firstLine="660"/>
    </w:pPr>
    <w:rPr>
      <w:rFonts w:ascii="宋体" w:hAnsi="宋体"/>
      <w:color w:val="000000"/>
      <w:sz w:val="24"/>
      <w:szCs w:val="20"/>
    </w:rPr>
  </w:style>
  <w:style w:type="paragraph" w:styleId="8">
    <w:name w:val="envelope return"/>
    <w:basedOn w:val="1"/>
    <w:autoRedefine/>
    <w:qFormat/>
    <w:uiPriority w:val="0"/>
    <w:pPr>
      <w:snapToGrid w:val="0"/>
    </w:pPr>
    <w:rPr>
      <w:rFonts w:ascii="Arial" w:hAnsi="Arial"/>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semiHidden/>
    <w:unhideWhenUsed/>
    <w:qFormat/>
    <w:uiPriority w:val="39"/>
  </w:style>
  <w:style w:type="paragraph" w:styleId="12">
    <w:name w:val="toc 2"/>
    <w:basedOn w:val="1"/>
    <w:next w:val="1"/>
    <w:semiHidden/>
    <w:unhideWhenUsed/>
    <w:uiPriority w:val="39"/>
    <w:pPr>
      <w:ind w:left="420" w:leftChars="200"/>
    </w:pPr>
  </w:style>
  <w:style w:type="paragraph" w:styleId="13">
    <w:name w:val="Body Text First Indent"/>
    <w:basedOn w:val="6"/>
    <w:link w:val="24"/>
    <w:autoRedefine/>
    <w:unhideWhenUsed/>
    <w:qFormat/>
    <w:uiPriority w:val="99"/>
    <w:pPr>
      <w:spacing w:before="100" w:beforeAutospacing="1"/>
      <w:ind w:firstLine="420" w:firstLineChars="100"/>
    </w:pPr>
  </w:style>
  <w:style w:type="paragraph" w:styleId="14">
    <w:name w:val="Body Text First Indent 2"/>
    <w:basedOn w:val="7"/>
    <w:autoRedefine/>
    <w:qFormat/>
    <w:uiPriority w:val="0"/>
    <w:pPr>
      <w:ind w:firstLine="420" w:firstLineChars="200"/>
    </w:pPr>
  </w:style>
  <w:style w:type="table" w:styleId="16">
    <w:name w:val="Table Grid"/>
    <w:basedOn w:val="15"/>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paragraph" w:customStyle="1" w:styleId="19">
    <w:name w:val="正文1"/>
    <w:autoRedefine/>
    <w:qFormat/>
    <w:uiPriority w:val="0"/>
    <w:pPr>
      <w:jc w:val="both"/>
    </w:pPr>
    <w:rPr>
      <w:rFonts w:ascii="Arial" w:hAnsi="Arial" w:eastAsia="宋体" w:cs="Arial"/>
      <w:kern w:val="2"/>
      <w:sz w:val="21"/>
      <w:szCs w:val="21"/>
      <w:lang w:val="en-US" w:eastAsia="zh-CN" w:bidi="ar-SA"/>
    </w:rPr>
  </w:style>
  <w:style w:type="paragraph" w:customStyle="1" w:styleId="20">
    <w:name w:val="列表段落1"/>
    <w:basedOn w:val="1"/>
    <w:qFormat/>
    <w:uiPriority w:val="34"/>
    <w:pPr>
      <w:ind w:firstLine="420"/>
    </w:pPr>
  </w:style>
  <w:style w:type="character" w:customStyle="1" w:styleId="21">
    <w:name w:val="标题 3 字符"/>
    <w:basedOn w:val="17"/>
    <w:link w:val="3"/>
    <w:autoRedefine/>
    <w:qFormat/>
    <w:uiPriority w:val="99"/>
    <w:rPr>
      <w:rFonts w:ascii="方正仿宋_GBK" w:hAnsi="方正仿宋_GBK" w:eastAsia="方正楷体_GBK" w:cs="宋体"/>
      <w:b/>
      <w:bCs/>
      <w:sz w:val="32"/>
      <w:szCs w:val="32"/>
    </w:rPr>
  </w:style>
  <w:style w:type="character" w:customStyle="1" w:styleId="22">
    <w:name w:val="标题 4 字符"/>
    <w:basedOn w:val="17"/>
    <w:link w:val="4"/>
    <w:autoRedefine/>
    <w:qFormat/>
    <w:uiPriority w:val="9"/>
    <w:rPr>
      <w:rFonts w:asciiTheme="majorHAnsi" w:hAnsiTheme="majorHAnsi" w:eastAsiaTheme="majorEastAsia" w:cstheme="majorBidi"/>
      <w:b/>
      <w:bCs/>
      <w:sz w:val="28"/>
      <w:szCs w:val="28"/>
    </w:rPr>
  </w:style>
  <w:style w:type="character" w:customStyle="1" w:styleId="23">
    <w:name w:val="正文文本 字符"/>
    <w:basedOn w:val="17"/>
    <w:link w:val="6"/>
    <w:autoRedefine/>
    <w:semiHidden/>
    <w:qFormat/>
    <w:uiPriority w:val="99"/>
    <w:rPr>
      <w:rFonts w:ascii="Verdana" w:hAnsi="Verdana" w:eastAsia="宋体" w:cs="Times New Roman"/>
      <w:sz w:val="24"/>
      <w:szCs w:val="24"/>
    </w:rPr>
  </w:style>
  <w:style w:type="character" w:customStyle="1" w:styleId="24">
    <w:name w:val="正文文本首行缩进 字符"/>
    <w:basedOn w:val="23"/>
    <w:link w:val="13"/>
    <w:autoRedefine/>
    <w:semiHidden/>
    <w:qFormat/>
    <w:uiPriority w:val="99"/>
    <w:rPr>
      <w:rFonts w:ascii="Verdana" w:hAnsi="Verdana" w:eastAsia="宋体" w:cs="Times New Roman"/>
      <w:sz w:val="24"/>
      <w:szCs w:val="24"/>
    </w:rPr>
  </w:style>
  <w:style w:type="paragraph" w:customStyle="1" w:styleId="25">
    <w:name w:val="_Style 2"/>
    <w:basedOn w:val="1"/>
    <w:qFormat/>
    <w:uiPriority w:val="0"/>
    <w:pPr>
      <w:adjustRightInd/>
      <w:spacing w:line="540" w:lineRule="exact"/>
      <w:ind w:firstLine="420"/>
      <w:textAlignment w:val="auto"/>
    </w:pPr>
    <w:rPr>
      <w:rFonts w:ascii="方正仿宋_GBK" w:hAnsi="方正仿宋_GBK" w:cs="宋体"/>
      <w:sz w:val="32"/>
      <w:szCs w:val="32"/>
    </w:rPr>
  </w:style>
  <w:style w:type="paragraph" w:customStyle="1" w:styleId="26">
    <w:name w:val="样式1"/>
    <w:basedOn w:val="4"/>
    <w:qFormat/>
    <w:uiPriority w:val="0"/>
    <w:rPr>
      <w:rFonts w:ascii="Arial" w:hAnsi="Arial"/>
    </w:rPr>
  </w:style>
  <w:style w:type="character" w:customStyle="1" w:styleId="27">
    <w:name w:val="标题 1 字符"/>
    <w:basedOn w:val="17"/>
    <w:link w:val="2"/>
    <w:autoRedefine/>
    <w:qFormat/>
    <w:uiPriority w:val="9"/>
    <w:rPr>
      <w:rFonts w:ascii="Verdana" w:hAnsi="Verdana" w:eastAsia="宋体" w:cs="Times New Roman"/>
      <w:b/>
      <w:bCs/>
      <w:kern w:val="44"/>
      <w:sz w:val="44"/>
      <w:szCs w:val="44"/>
    </w:rPr>
  </w:style>
  <w:style w:type="paragraph" w:customStyle="1" w:styleId="28">
    <w:name w:val="WPSOffice手动目录 1"/>
    <w:uiPriority w:val="0"/>
    <w:pPr>
      <w:ind w:leftChars="0"/>
    </w:pPr>
    <w:rPr>
      <w:rFonts w:ascii="Calibri" w:hAnsi="Calibri" w:eastAsia="宋体" w:cs="Times New Roman"/>
      <w:sz w:val="20"/>
      <w:szCs w:val="20"/>
    </w:rPr>
  </w:style>
  <w:style w:type="paragraph" w:customStyle="1" w:styleId="29">
    <w:name w:val="WPSOffice手动目录 2"/>
    <w:uiPriority w:val="0"/>
    <w:pPr>
      <w:ind w:leftChars="200"/>
    </w:pPr>
    <w:rPr>
      <w:rFonts w:ascii="Calibri" w:hAnsi="Calibri" w:eastAsia="宋体" w:cs="Times New Roman"/>
      <w:sz w:val="20"/>
      <w:szCs w:val="20"/>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paragraph" w:customStyle="1" w:styleId="32">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1351</Words>
  <Characters>1460</Characters>
  <Lines>32</Lines>
  <Paragraphs>9</Paragraphs>
  <TotalTime>2</TotalTime>
  <ScaleCrop>false</ScaleCrop>
  <LinksUpToDate>false</LinksUpToDate>
  <CharactersWithSpaces>1464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2020-06-06T02:23:00Z</dcterms:created>
  <dc:creator>Administrator</dc:creator>
  <cp:lastModifiedBy>龙潜深渊</cp:lastModifiedBy>
  <cp:lastPrinted>2025-07-22T01:04:00Z</cp:lastPrinted>
  <dcterms:modified xsi:type="dcterms:W3CDTF">2025-07-22T01:04:13Z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39A4FD6B5B3A43239849896FDA3909C1_13</vt:lpwstr>
  </property>
  <property fmtid="{D5CDD505-2E9C-101B-9397-08002B2CF9AE}" pid="4" name="commondata">
    <vt:lpwstr>eyJoZGlkIjoiNTU1YjNkZmUyNmE3MjlmZmExMGFiZTVhOGQ4OGM1ZTkifQ==</vt:lpwstr>
  </property>
  <property fmtid="{D5CDD505-2E9C-101B-9397-08002B2CF9AE}" pid="5" name="KSOTemplateDocerSaveRecord">
    <vt:lpwstr>eyJoZGlkIjoiMTRmMTE5ZTAyYzA5YTE1NmY3YmVlY2RhNDJkNGU0OGQiLCJ1c2VySWQiOiI0MDk1MjE2NzQifQ==</vt:lpwstr>
  </property>
</Properties>
</file>